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lang w:eastAsia="zh-Hans"/>
        </w:rPr>
      </w:pP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  <w:lang w:eastAsia="zh-Hans"/>
        </w:rPr>
        <w:t>中国国际体育用品博览会酒店预订列表</w:t>
      </w:r>
    </w:p>
    <w:tbl>
      <w:tblPr>
        <w:tblStyle w:val="6"/>
        <w:tblpPr w:leftFromText="180" w:rightFromText="180" w:vertAnchor="page" w:horzAnchor="page" w:tblpX="822" w:tblpY="2215"/>
        <w:tblOverlap w:val="never"/>
        <w:tblW w:w="10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755"/>
        <w:gridCol w:w="616"/>
        <w:gridCol w:w="1104"/>
        <w:gridCol w:w="1763"/>
        <w:gridCol w:w="112"/>
        <w:gridCol w:w="951"/>
        <w:gridCol w:w="307"/>
        <w:gridCol w:w="504"/>
        <w:gridCol w:w="937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752" w:type="dxa"/>
            <w:gridSpan w:val="11"/>
          </w:tcPr>
          <w:p>
            <w:pPr>
              <w:jc w:val="center"/>
              <w:rPr>
                <w:lang w:eastAsia="zh-Hans"/>
              </w:rPr>
            </w:pPr>
          </w:p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联系人</w:t>
            </w:r>
            <w:r>
              <w:rPr>
                <w:lang w:eastAsia="zh-Hans"/>
              </w:rPr>
              <w:t xml:space="preserve">： </w:t>
            </w:r>
            <w:r>
              <w:rPr>
                <w:rFonts w:hint="eastAsia"/>
                <w:lang w:eastAsia="zh-Hans"/>
              </w:rPr>
              <w:t>吴先生</w:t>
            </w:r>
            <w:r>
              <w:rPr>
                <w:lang w:eastAsia="zh-Hans"/>
              </w:rPr>
              <w:t xml:space="preserve"> 13627736583 </w:t>
            </w:r>
            <w:r>
              <w:rPr>
                <w:rFonts w:hint="eastAsia"/>
                <w:lang w:eastAsia="zh-Hans"/>
              </w:rPr>
              <w:t>李女士</w:t>
            </w:r>
            <w:r>
              <w:rPr>
                <w:lang w:eastAsia="zh-Hans"/>
              </w:rPr>
              <w:t xml:space="preserve"> 18459265470 </w:t>
            </w:r>
            <w:r>
              <w:rPr>
                <w:rFonts w:hint="eastAsia"/>
                <w:lang w:eastAsia="zh-Hans"/>
              </w:rPr>
              <w:t>李女士</w:t>
            </w:r>
            <w:r>
              <w:rPr>
                <w:lang w:eastAsia="zh-Hans"/>
              </w:rPr>
              <w:t xml:space="preserve"> 17850521506</w:t>
            </w:r>
          </w:p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序号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酒店名称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星级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酒店地址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距离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车程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优惠价格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Hans" w:bidi="ar"/>
              </w:rPr>
              <w:t>免费服务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厦门禹洲温德姆至尊豪廷大酒店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福建省厦门市湖里区钟宅路882号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.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15min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738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厦门海景千禧大酒店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厦门市思明区镇海路12-8号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10公里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15min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3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亚洲海湾大酒店（北区）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厦门市思明区环岛路黄厝98号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.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10min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468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4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亚洲海湾大酒店（南区）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厦门市思明区环岛路黄厝98号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.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10min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598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5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厦门白鹭宾馆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厦门市思明区虎园路6号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.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4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18min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468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6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思明党校会务中心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厦门市思明区前埔东路22号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5min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458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7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爱丁堡酒店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3*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厦门市思明区前埔路501号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.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8min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468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lang w:eastAsia="zh-Hans"/>
              </w:rPr>
              <w:t>8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天连锁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金榜店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）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连锁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厦门市思明区金榜路87号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.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4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公里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20min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双早班车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0752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通过本渠道预定房间，展期免费乘坐酒店-展馆往返大巴车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更多酒店预订请点击酒店线上预订链接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3" name="图片 3" descr="1401646878888_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401646878888_.pi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44" cy="136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Cs w:val="21"/>
                <w:lang w:eastAsia="zh-Hans" w:bidi="ar"/>
              </w:rPr>
              <w:t>增值服务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团队会议室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团队餐饮晚宴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团队用车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  <w:t>活动搭建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10752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-21590</wp:posOffset>
                      </wp:positionV>
                      <wp:extent cx="6216650" cy="4321810"/>
                      <wp:effectExtent l="0" t="0" r="0" b="25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6650" cy="4321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  <w:lang w:eastAsia="zh-Hans" w:bidi="ar"/>
                                    </w:rPr>
                                    <w:t>温馨提示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  <w:lang w:eastAsia="zh-Hans" w:bidi="ar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widowControl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预订方式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散客预订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扫码选择预订酒店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支付房费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填写开票信息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接收预订确认信息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入住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——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离店取走发票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2）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团队预订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：10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间以上房间预订可直接联系我们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工作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人员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提高预订效率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3）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增值服务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会议室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餐饮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晚宴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用车等资源预订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活动现场搭建等均可联系我们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工作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人员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left="360" w:hanging="360" w:hanging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付款方式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在线支付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接收支付宝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微信支付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支持公对公支付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2）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如部分嘉宾需在酒店前台刷公务卡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预订时需先在订房平台支付全额房费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平台支付的房费我们将在会议结束后两周内退还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如何得知预订成功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当您订单完成付款之后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方才预订成功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您会收到一条系统发送的预订完成短信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2）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您也可以在本系统中的“个人中心”板块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查询已经完成的预订信息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3）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团队预订以订房单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合同签订为准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numPr>
                                      <w:ilvl w:val="0"/>
                                      <w:numId w:val="6"/>
                                    </w:numPr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入住与离店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1）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参会嘉宾至预订酒店前台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报订房人姓名即可入住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widowControl/>
                                    <w:ind w:firstLine="360" w:firstLineChars="200"/>
                                    <w:textAlignment w:val="center"/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eastAsia="zh-Hans" w:bidi="ar"/>
                                    </w:rPr>
                                    <w:t>2）酒店入住时间为入住当天14:00后，退房时间为离店当天12:00前。若退房时间延迟至12:00-18:00，将收取半日房费；退房时间延至18:00后，将收取整日房费。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05pt;margin-top:-1.7pt;height:340.3pt;width:489.5pt;z-index:251659264;mso-width-relative:page;mso-height-relative:page;" filled="f" stroked="f" coordsize="21600,21600" o:gfxdata="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grSHTbAAAACgEAAA8AAAAAAAAAAQAgAAAAIgAAAGRy&#10;cy9kb3ducmV2LnhtbFBLAQIUABQAAAAIAIdO4kBLr4DVOwIAAGc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/>
                              <w:textAlignment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Cs w:val="21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Cs w:val="21"/>
                                <w:lang w:eastAsia="zh-Hans" w:bidi="ar"/>
                              </w:rPr>
                              <w:t>温馨提示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Cs w:val="21"/>
                                <w:lang w:eastAsia="zh-Hans" w:bidi="ar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textAlignment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一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预订方式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散客预订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扫码选择预订酒店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支付房费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填写开票信息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接收预订确认信息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入住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离店取走发票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团队预订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：10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间以上房间预订可直接联系我们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人员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提高预订效率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3）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增值服务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会议室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餐饮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晚宴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用车等资源预订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活动现场搭建等均可联系我们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人员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left="360" w:hanging="360" w:hanging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付款方式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在线支付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接收支付宝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微信支付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支持公对公支付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如部分嘉宾需在酒店前台刷公务卡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预订时需先在订房平台支付全额房费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平台支付的房费我们将在会议结束后两周内退还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extAlignment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如何得知预订成功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当您订单完成付款之后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方才预订成功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您会收到一条系统发送的预订完成短信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您也可以在本系统中的“个人中心”板块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查询已经完成的预订信息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3）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团队预订以订房单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合同签订为准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入住与离店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参会嘉宾至预订酒店前台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报订房人姓名即可入住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ind w:firstLine="360" w:firstLineChars="200"/>
                              <w:textAlignment w:val="center"/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/>
                                <w:kern w:val="0"/>
                                <w:sz w:val="18"/>
                                <w:szCs w:val="18"/>
                                <w:lang w:eastAsia="zh-Hans" w:bidi="ar"/>
                              </w:rPr>
                              <w:t>2）酒店入住时间为入住当天14:00后，退房时间为离店当天12:00前。若退房时间延迟至12:00-18:00，将收取半日房费；退房时间延至18:00后，将收取整日房费。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Hans" w:bidi="ar"/>
              </w:rPr>
            </w:pPr>
          </w:p>
        </w:tc>
      </w:tr>
    </w:tbl>
    <w:p>
      <w:pPr>
        <w:rPr>
          <w:lang w:eastAsia="zh-Hans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2032000" cy="432435"/>
          <wp:effectExtent l="0" t="0" r="6350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027" cy="45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F9B58"/>
    <w:multiLevelType w:val="singleLevel"/>
    <w:tmpl w:val="612F9B58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12F9BF3"/>
    <w:multiLevelType w:val="singleLevel"/>
    <w:tmpl w:val="612F9BF3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61318888"/>
    <w:multiLevelType w:val="singleLevel"/>
    <w:tmpl w:val="6131888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131889D"/>
    <w:multiLevelType w:val="singleLevel"/>
    <w:tmpl w:val="6131889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613188EE"/>
    <w:multiLevelType w:val="singleLevel"/>
    <w:tmpl w:val="613188E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61318902"/>
    <w:multiLevelType w:val="singleLevel"/>
    <w:tmpl w:val="6131890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4982E0"/>
    <w:rsid w:val="00017CF3"/>
    <w:rsid w:val="000A3BE4"/>
    <w:rsid w:val="00100AE8"/>
    <w:rsid w:val="001B27F8"/>
    <w:rsid w:val="00463788"/>
    <w:rsid w:val="00495A99"/>
    <w:rsid w:val="004F212C"/>
    <w:rsid w:val="00AC0968"/>
    <w:rsid w:val="00C74904"/>
    <w:rsid w:val="00CE3796"/>
    <w:rsid w:val="00D53B83"/>
    <w:rsid w:val="00DD277E"/>
    <w:rsid w:val="00E20F1E"/>
    <w:rsid w:val="00ED5E64"/>
    <w:rsid w:val="00EF6723"/>
    <w:rsid w:val="1FD7EA40"/>
    <w:rsid w:val="3BBD0FAC"/>
    <w:rsid w:val="68033452"/>
    <w:rsid w:val="6E5B9703"/>
    <w:rsid w:val="6FFF6661"/>
    <w:rsid w:val="7C6E9D55"/>
    <w:rsid w:val="7CEB5FB0"/>
    <w:rsid w:val="7D4982E0"/>
    <w:rsid w:val="7FF99888"/>
    <w:rsid w:val="8FA7203D"/>
    <w:rsid w:val="A2E70700"/>
    <w:rsid w:val="BB33907F"/>
    <w:rsid w:val="E7EAB2B9"/>
    <w:rsid w:val="FBE64D53"/>
    <w:rsid w:val="FD75A350"/>
    <w:rsid w:val="FDFB99D9"/>
    <w:rsid w:val="FEFFED2B"/>
    <w:rsid w:val="FFB6BAF7"/>
    <w:rsid w:val="FFFFF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8</TotalTime>
  <ScaleCrop>false</ScaleCrop>
  <LinksUpToDate>false</LinksUpToDate>
  <CharactersWithSpaces>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2022-06-27T01:11:00Z</dcterms:created>
  <dc:creator>lijianru</dc:creator>
  <cp:lastModifiedBy>张明飞</cp:lastModifiedBy>
  <dcterms:modified xsi:type="dcterms:W3CDTF">2022-06-29T01:14:14Z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A81D0C5B94F6472D951EA5042BDAC206</vt:lpwstr>
  </property>
</Properties>
</file>